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08"/>
        <w:jc w:val="right"/>
        <w:spacing w:before="0" w:beforeAutospacing="0" w:after="0" w:afterAutospacing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Style w:val="920"/>
          <w:rFonts w:ascii="Times New Roman" w:hAnsi="Times New Roman" w:cs="Times New Roman"/>
          <w:b w:val="0"/>
          <w:i w:val="0"/>
          <w:color w:val="000000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br w:type="textWrapping" w:clear="all"/>
        <w:t xml:space="preserve">к приказу от </w:t>
      </w:r>
      <w:r>
        <w:rPr>
          <w:rFonts w:ascii="Times New Roman" w:hAnsi="Times New Roman" w:cs="Times New Roman"/>
          <w:sz w:val="28"/>
          <w:szCs w:val="28"/>
        </w:rPr>
        <w:t xml:space="preserve">25.12.2025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211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8"/>
        <w:jc w:val="right"/>
        <w:spacing w:before="0" w:beforeAutospacing="0" w:after="0" w:afterAutospacing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8"/>
        <w:jc w:val="right"/>
        <w:spacing w:before="0" w:beforeAutospacing="0" w:after="0" w:afterAutospacing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8"/>
        <w:numPr>
          <w:ilvl w:val="0"/>
          <w:numId w:val="1"/>
        </w:numPr>
        <w:jc w:val="center"/>
        <w:spacing w:before="0" w:beforeAutospacing="0" w:after="0" w:afterAutospacing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должностей</w:t>
      </w:r>
      <w:r>
        <w:rPr>
          <w:rFonts w:ascii="Times New Roman" w:hAnsi="Times New Roman" w:cs="Times New Roman"/>
          <w:b/>
          <w:sz w:val="24"/>
          <w:szCs w:val="24"/>
        </w:rPr>
        <w:t xml:space="preserve">, имеющих право подписи первичных </w:t>
      </w:r>
      <w:r>
        <w:rPr>
          <w:rFonts w:ascii="Times New Roman" w:hAnsi="Times New Roman" w:cs="Times New Roman"/>
          <w:b/>
          <w:sz w:val="24"/>
          <w:szCs w:val="24"/>
        </w:rPr>
        <w:t xml:space="preserve">учетных </w:t>
      </w:r>
      <w:r>
        <w:rPr>
          <w:rFonts w:ascii="Times New Roman" w:hAnsi="Times New Roman" w:cs="Times New Roman"/>
          <w:b/>
          <w:sz w:val="24"/>
          <w:szCs w:val="24"/>
        </w:rPr>
        <w:t xml:space="preserve">документов</w:t>
      </w:r>
      <w:r>
        <w:rPr>
          <w:rFonts w:ascii="Times New Roman" w:hAnsi="Times New Roman" w:cs="Times New Roman"/>
          <w:b/>
          <w:sz w:val="24"/>
          <w:szCs w:val="24"/>
        </w:rPr>
        <w:t xml:space="preserve">, денежных и расчетных документов, финансовых обязательств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908"/>
        <w:jc w:val="center"/>
        <w:spacing w:before="0" w:beforeAutospacing="0" w:after="0" w:afterAutospacing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 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4658" w:type="dxa"/>
        <w:tblInd w:w="0" w:type="dxa"/>
        <w:tblLayout w:type="fixed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44"/>
        <w:gridCol w:w="4293"/>
        <w:gridCol w:w="5102"/>
        <w:gridCol w:w="4819"/>
      </w:tblGrid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98" w:type="auto"/>
            <w:vAlign w:val="center"/>
            <w:textDirection w:val="lrTb"/>
            <w:noWrap w:val="false"/>
          </w:tcPr>
          <w:p>
            <w:pPr>
              <w:pStyle w:val="8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  <w:br w:type="textWrapping" w:clear="all"/>
              <w:t xml:space="preserve">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293" w:type="dxa"/>
            <w:vAlign w:val="center"/>
            <w:textDirection w:val="lrTb"/>
            <w:noWrap w:val="false"/>
          </w:tcPr>
          <w:p>
            <w:pPr>
              <w:pStyle w:val="8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5102" w:type="dxa"/>
            <w:vAlign w:val="center"/>
            <w:textDirection w:val="lrTb"/>
            <w:noWrap w:val="false"/>
          </w:tcPr>
          <w:p>
            <w:pPr>
              <w:pStyle w:val="8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  <w:br w:type="textWrapping" w:clear="all"/>
              <w:t xml:space="preserve">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819" w:type="dxa"/>
            <w:vAlign w:val="center"/>
            <w:textDirection w:val="lrTb"/>
            <w:noWrap w:val="false"/>
          </w:tcPr>
          <w:p>
            <w:pPr>
              <w:pStyle w:val="8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98" w:type="auto"/>
            <w:vAlign w:val="center"/>
            <w:textDirection w:val="lrTb"/>
            <w:noWrap w:val="false"/>
          </w:tcPr>
          <w:p>
            <w:pPr>
              <w:pStyle w:val="8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293" w:type="dxa"/>
            <w:vAlign w:val="center"/>
            <w:textDirection w:val="lrTb"/>
            <w:noWrap w:val="false"/>
          </w:tcPr>
          <w:p>
            <w:pPr>
              <w:pStyle w:val="8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  <w:t xml:space="preserve">Директор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 w:type="textWrapping" w:clear="all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5102" w:type="dxa"/>
            <w:vAlign w:val="center"/>
            <w:textDirection w:val="lrTb"/>
            <w:noWrap w:val="false"/>
          </w:tcPr>
          <w:p>
            <w:pPr>
              <w:pStyle w:val="8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  <w:t xml:space="preserve">Все документы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819" w:type="dxa"/>
            <w:vAlign w:val="center"/>
            <w:textDirection w:val="lrTb"/>
            <w:noWrap w:val="false"/>
          </w:tcPr>
          <w:p>
            <w:pPr>
              <w:pStyle w:val="8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98" w:type="auto"/>
            <w:vAlign w:val="center"/>
            <w:textDirection w:val="lrTb"/>
            <w:noWrap w:val="false"/>
          </w:tcPr>
          <w:p>
            <w:pPr>
              <w:pStyle w:val="8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293" w:type="dxa"/>
            <w:vAlign w:val="center"/>
            <w:textDirection w:val="lrTb"/>
            <w:noWrap w:val="false"/>
          </w:tcPr>
          <w:p>
            <w:pPr>
              <w:pStyle w:val="8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  <w:t xml:space="preserve">Главный бухгалтер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  <w:br w:type="textWrapping" w:clear="all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5102" w:type="dxa"/>
            <w:vAlign w:val="center"/>
            <w:textDirection w:val="lrTb"/>
            <w:noWrap w:val="false"/>
          </w:tcPr>
          <w:p>
            <w:pPr>
              <w:pStyle w:val="89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  <w:t xml:space="preserve">Первичные учетные документы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819" w:type="dxa"/>
            <w:vAlign w:val="center"/>
            <w:textDirection w:val="lrTb"/>
            <w:noWrap w:val="false"/>
          </w:tcPr>
          <w:p>
            <w:pPr>
              <w:pStyle w:val="8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98" w:type="auto"/>
            <w:vAlign w:val="center"/>
            <w:textDirection w:val="lrTb"/>
            <w:noWrap w:val="false"/>
          </w:tcPr>
          <w:p>
            <w:pPr>
              <w:pStyle w:val="8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293" w:type="dxa"/>
            <w:vAlign w:val="center"/>
            <w:textDirection w:val="lrTb"/>
            <w:noWrap w:val="false"/>
          </w:tcPr>
          <w:p>
            <w:pPr>
              <w:pStyle w:val="8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  <w:t xml:space="preserve">Заместитель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  <w:br w:type="textWrapping" w:clear="all"/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  <w:t xml:space="preserve">директора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АХР</w:t>
              <w:br w:type="textWrapping" w:clear="all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5102" w:type="dxa"/>
            <w:vAlign w:val="center"/>
            <w:textDirection w:val="lrTb"/>
            <w:noWrap w:val="false"/>
          </w:tcPr>
          <w:p>
            <w:pPr>
              <w:pStyle w:val="8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документы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819" w:type="dxa"/>
            <w:vAlign w:val="center"/>
            <w:textDirection w:val="lrTb"/>
            <w:noWrap w:val="false"/>
          </w:tcPr>
          <w:p>
            <w:pPr>
              <w:pStyle w:val="8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  <w:t xml:space="preserve">За директора в 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  <w:br w:type="textWrapping" w:clear="all"/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  <w:t xml:space="preserve">отсутствие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98" w:type="auto"/>
            <w:vAlign w:val="center"/>
            <w:textDirection w:val="lrTb"/>
            <w:noWrap w:val="false"/>
          </w:tcPr>
          <w:p>
            <w:pPr>
              <w:pStyle w:val="8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293" w:type="dxa"/>
            <w:vAlign w:val="center"/>
            <w:textDirection w:val="lrTb"/>
            <w:noWrap w:val="false"/>
          </w:tcPr>
          <w:p>
            <w:pPr>
              <w:pStyle w:val="894"/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pP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  <w:t xml:space="preserve">Бухгалтер по расчетам</w:t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</w:p>
          <w:p>
            <w:pPr>
              <w:pStyle w:val="8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5102" w:type="dxa"/>
            <w:vAlign w:val="center"/>
            <w:textDirection w:val="lrTb"/>
            <w:noWrap w:val="false"/>
          </w:tcPr>
          <w:p>
            <w:pPr>
              <w:pStyle w:val="8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Платежные документы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819" w:type="dxa"/>
            <w:vAlign w:val="center"/>
            <w:textDirection w:val="lrTb"/>
            <w:noWrap w:val="false"/>
          </w:tcPr>
          <w:p>
            <w:pPr>
              <w:pStyle w:val="8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  <w:t xml:space="preserve">За главного бухгалтера в его отсутствие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98" w:type="auto"/>
            <w:vAlign w:val="center"/>
            <w:textDirection w:val="lrTb"/>
            <w:noWrap w:val="false"/>
          </w:tcPr>
          <w:p>
            <w:pPr>
              <w:pStyle w:val="894"/>
              <w:jc w:val="center"/>
              <w:rPr>
                <w:sz w:val="24"/>
                <w:szCs w:val="24"/>
              </w:rPr>
            </w:pP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293" w:type="dxa"/>
            <w:vAlign w:val="center"/>
            <w:textDirection w:val="lrTb"/>
            <w:noWrap w:val="false"/>
          </w:tcPr>
          <w:p>
            <w:pPr>
              <w:pStyle w:val="894"/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pP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  <w:t xml:space="preserve">Бухгалтер (по расчетам с персоналом)</w:t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</w:p>
          <w:p>
            <w:pPr>
              <w:pStyle w:val="894"/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pP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5102" w:type="dxa"/>
            <w:vAlign w:val="center"/>
            <w:textDirection w:val="lrTb"/>
            <w:noWrap w:val="false"/>
          </w:tcPr>
          <w:p>
            <w:pPr>
              <w:pStyle w:val="894"/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pP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  <w:t xml:space="preserve">Первичные документы (кроме платежных)</w:t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819" w:type="dxa"/>
            <w:vAlign w:val="top"/>
            <w:textDirection w:val="lrTb"/>
            <w:noWrap w:val="false"/>
          </w:tcPr>
          <w:p>
            <w:pPr>
              <w:pStyle w:val="894"/>
              <w:jc w:val="center"/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pP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</w:p>
          <w:p>
            <w:pPr>
              <w:pStyle w:val="894"/>
              <w:jc w:val="center"/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pP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  <w:t xml:space="preserve">За главного бухгалтера в его отсутствие</w:t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98" w:type="auto"/>
            <w:vAlign w:val="center"/>
            <w:vMerge w:val="restart"/>
            <w:textDirection w:val="lrTb"/>
            <w:noWrap w:val="false"/>
          </w:tcPr>
          <w:p>
            <w:pPr>
              <w:pStyle w:val="894"/>
              <w:jc w:val="center"/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pP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  <w:t xml:space="preserve">6</w:t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293" w:type="dxa"/>
            <w:vAlign w:val="center"/>
            <w:vMerge w:val="restart"/>
            <w:textDirection w:val="lrTb"/>
            <w:noWrap w:val="false"/>
          </w:tcPr>
          <w:p>
            <w:pPr>
              <w:pStyle w:val="894"/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pP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  <w:t xml:space="preserve">Специалист по кадрам</w:t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5102" w:type="dxa"/>
            <w:vAlign w:val="center"/>
            <w:vMerge w:val="restart"/>
            <w:textDirection w:val="lrTb"/>
            <w:noWrap w:val="false"/>
          </w:tcPr>
          <w:p>
            <w:pPr>
              <w:pStyle w:val="894"/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pP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  <w:t xml:space="preserve">Кадровые документы</w:t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819" w:type="dxa"/>
            <w:vAlign w:val="top"/>
            <w:vMerge w:val="restart"/>
            <w:textDirection w:val="lrTb"/>
            <w:noWrap w:val="false"/>
          </w:tcPr>
          <w:p>
            <w:pPr>
              <w:pStyle w:val="894"/>
              <w:jc w:val="center"/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pP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  <w:t xml:space="preserve">-</w:t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98" w:type="auto"/>
            <w:vAlign w:val="center"/>
            <w:vMerge w:val="restart"/>
            <w:textDirection w:val="lrTb"/>
            <w:noWrap w:val="false"/>
          </w:tcPr>
          <w:p>
            <w:pPr>
              <w:pStyle w:val="894"/>
              <w:jc w:val="center"/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pP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  <w:t xml:space="preserve">7</w:t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293" w:type="dxa"/>
            <w:vAlign w:val="center"/>
            <w:vMerge w:val="restart"/>
            <w:textDirection w:val="lrTb"/>
            <w:noWrap w:val="false"/>
          </w:tcPr>
          <w:p>
            <w:pPr>
              <w:pStyle w:val="894"/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pP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  <w:t xml:space="preserve">Специалист по закупкам</w:t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5102" w:type="dxa"/>
            <w:vAlign w:val="center"/>
            <w:vMerge w:val="restart"/>
            <w:textDirection w:val="lrTb"/>
            <w:noWrap w:val="false"/>
          </w:tcPr>
          <w:p>
            <w:pPr>
              <w:pStyle w:val="894"/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pP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  <w:t xml:space="preserve">Документы от поставщиков</w:t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819" w:type="dxa"/>
            <w:vAlign w:val="top"/>
            <w:vMerge w:val="restart"/>
            <w:textDirection w:val="lrTb"/>
            <w:noWrap w:val="false"/>
          </w:tcPr>
          <w:p>
            <w:pPr>
              <w:pStyle w:val="894"/>
              <w:jc w:val="center"/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pP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  <w:t xml:space="preserve">-</w:t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98" w:type="auto"/>
            <w:vAlign w:val="center"/>
            <w:textDirection w:val="lrTb"/>
            <w:noWrap w:val="false"/>
          </w:tcPr>
          <w:p>
            <w:pPr>
              <w:pStyle w:val="8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293" w:type="dxa"/>
            <w:vAlign w:val="center"/>
            <w:textDirection w:val="lrTb"/>
            <w:noWrap w:val="false"/>
          </w:tcPr>
          <w:p>
            <w:pPr>
              <w:pStyle w:val="894"/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pP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  <w:t xml:space="preserve">Инженер по эксплуатации зданий и сооружений</w:t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</w:p>
          <w:p>
            <w:pPr>
              <w:pStyle w:val="89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5102" w:type="dxa"/>
            <w:vAlign w:val="center"/>
            <w:textDirection w:val="lrTb"/>
            <w:noWrap w:val="false"/>
          </w:tcPr>
          <w:p>
            <w:pPr>
              <w:pStyle w:val="8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  <w:t xml:space="preserve">Документы от поставщиков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819" w:type="dxa"/>
            <w:vAlign w:val="top"/>
            <w:textDirection w:val="lrTb"/>
            <w:noWrap w:val="false"/>
          </w:tcPr>
          <w:p>
            <w:pPr>
              <w:pStyle w:val="894"/>
              <w:jc w:val="center"/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pP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</w:p>
          <w:p>
            <w:pPr>
              <w:pStyle w:val="89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98" w:type="auto"/>
            <w:vAlign w:val="center"/>
            <w:textDirection w:val="lrTb"/>
            <w:noWrap w:val="false"/>
          </w:tcPr>
          <w:p>
            <w:pPr>
              <w:pStyle w:val="8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293" w:type="dxa"/>
            <w:vAlign w:val="center"/>
            <w:textDirection w:val="lrTb"/>
            <w:noWrap w:val="false"/>
          </w:tcPr>
          <w:p>
            <w:pPr>
              <w:pStyle w:val="8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Кладовщик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5102" w:type="dxa"/>
            <w:vAlign w:val="center"/>
            <w:textDirection w:val="lrTb"/>
            <w:noWrap w:val="false"/>
          </w:tcPr>
          <w:p>
            <w:pPr>
              <w:pStyle w:val="8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от поставщиков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819" w:type="dxa"/>
            <w:vAlign w:val="top"/>
            <w:textDirection w:val="lrTb"/>
            <w:noWrap w:val="false"/>
          </w:tcPr>
          <w:p>
            <w:pPr>
              <w:pStyle w:val="894"/>
              <w:jc w:val="center"/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pP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</w:p>
          <w:p>
            <w:pPr>
              <w:pStyle w:val="89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98" w:type="auto"/>
            <w:vAlign w:val="center"/>
            <w:textDirection w:val="lrTb"/>
            <w:noWrap w:val="false"/>
          </w:tcPr>
          <w:p>
            <w:pPr>
              <w:pStyle w:val="894"/>
              <w:jc w:val="center"/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pP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  <w:t xml:space="preserve">10</w:t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293" w:type="dxa"/>
            <w:vAlign w:val="center"/>
            <w:textDirection w:val="lrTb"/>
            <w:noWrap w:val="false"/>
          </w:tcPr>
          <w:p>
            <w:pPr>
              <w:pStyle w:val="8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учебной (производственной) практикой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5102" w:type="dxa"/>
            <w:vAlign w:val="center"/>
            <w:textDirection w:val="lrTb"/>
            <w:noWrap w:val="false"/>
          </w:tcPr>
          <w:p>
            <w:pPr>
              <w:pStyle w:val="8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Документация по организации учебной (производственной) практики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819" w:type="dxa"/>
            <w:vAlign w:val="top"/>
            <w:textDirection w:val="lrTb"/>
            <w:noWrap w:val="false"/>
          </w:tcPr>
          <w:p>
            <w:pPr>
              <w:pStyle w:val="894"/>
              <w:jc w:val="center"/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pP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</w:p>
          <w:p>
            <w:pPr>
              <w:pStyle w:val="89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98" w:type="auto"/>
            <w:vAlign w:val="center"/>
            <w:textDirection w:val="lrTb"/>
            <w:noWrap w:val="false"/>
          </w:tcPr>
          <w:p>
            <w:pPr>
              <w:pStyle w:val="894"/>
              <w:jc w:val="center"/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pP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  <w:t xml:space="preserve">11</w:t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293" w:type="dxa"/>
            <w:vAlign w:val="center"/>
            <w:textDirection w:val="lrTb"/>
            <w:noWrap w:val="false"/>
          </w:tcPr>
          <w:p>
            <w:pPr>
              <w:pStyle w:val="8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столовой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5102" w:type="dxa"/>
            <w:vAlign w:val="center"/>
            <w:textDirection w:val="lrTb"/>
            <w:noWrap w:val="false"/>
          </w:tcPr>
          <w:p>
            <w:pPr>
              <w:pStyle w:val="8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Документация по организации питания в столовой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819" w:type="dxa"/>
            <w:vAlign w:val="top"/>
            <w:textDirection w:val="lrTb"/>
            <w:noWrap w:val="false"/>
          </w:tcPr>
          <w:p>
            <w:pPr>
              <w:pStyle w:val="894"/>
              <w:jc w:val="center"/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pP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</w:p>
          <w:p>
            <w:pPr>
              <w:pStyle w:val="89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98" w:type="auto"/>
            <w:vAlign w:val="center"/>
            <w:vMerge w:val="restart"/>
            <w:textDirection w:val="lrTb"/>
            <w:noWrap w:val="false"/>
          </w:tcPr>
          <w:p>
            <w:pPr>
              <w:pStyle w:val="894"/>
              <w:jc w:val="center"/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pP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  <w:t xml:space="preserve">12</w:t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293" w:type="dxa"/>
            <w:vAlign w:val="center"/>
            <w:vMerge w:val="restart"/>
            <w:textDirection w:val="lrTb"/>
            <w:noWrap w:val="false"/>
          </w:tcPr>
          <w:p>
            <w:pPr>
              <w:pStyle w:val="8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общежитием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5102" w:type="dxa"/>
            <w:vAlign w:val="center"/>
            <w:vMerge w:val="restart"/>
            <w:textDirection w:val="lrTb"/>
            <w:noWrap w:val="false"/>
          </w:tcPr>
          <w:p>
            <w:pPr>
              <w:pStyle w:val="8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Документация по организации проживания в общежитии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819" w:type="dxa"/>
            <w:vAlign w:val="top"/>
            <w:vMerge w:val="restart"/>
            <w:textDirection w:val="lrTb"/>
            <w:noWrap w:val="false"/>
          </w:tcPr>
          <w:p>
            <w:pPr>
              <w:pStyle w:val="894"/>
              <w:jc w:val="center"/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pP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  <w:r>
              <w:rPr>
                <w:rStyle w:val="920"/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r>
          </w:p>
        </w:tc>
      </w:tr>
    </w:tbl>
    <w:p>
      <w:pPr>
        <w:pStyle w:val="908"/>
        <w:jc w:val="center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Перечень лиц, имеющих право подписи электронных документов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tbl>
      <w:tblPr>
        <w:tblStyle w:val="750"/>
        <w:tblW w:w="0" w:type="auto"/>
        <w:tblLayout w:type="fixed"/>
        <w:tblLook w:val="04A0" w:firstRow="1" w:lastRow="0" w:firstColumn="1" w:lastColumn="0" w:noHBand="0" w:noVBand="1"/>
      </w:tblPr>
      <w:tblGrid>
        <w:gridCol w:w="2397"/>
        <w:gridCol w:w="8199"/>
        <w:gridCol w:w="2126"/>
        <w:gridCol w:w="1984"/>
      </w:tblGrid>
      <w:tr>
        <w:tblPrEx/>
        <w:trPr/>
        <w:tc>
          <w:tcPr>
            <w:tcW w:w="2397" w:type="dxa"/>
            <w:textDirection w:val="lrTb"/>
            <w:noWrap w:val="false"/>
          </w:tcPr>
          <w:p>
            <w:pPr>
              <w:pStyle w:val="908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Должность/статус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8199" w:type="dxa"/>
            <w:textDirection w:val="lrTb"/>
            <w:noWrap w:val="false"/>
          </w:tcPr>
          <w:p>
            <w:pPr>
              <w:pStyle w:val="908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Наименование документа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908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Вид электронной подписи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908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Примечание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1579"/>
        </w:trPr>
        <w:tc>
          <w:tcPr>
            <w:tcW w:w="2397" w:type="dxa"/>
            <w:textDirection w:val="lrTb"/>
            <w:noWrap w:val="false"/>
          </w:tcPr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Директор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8199" w:type="dxa"/>
            <w:textDirection w:val="lrTb"/>
            <w:noWrap w:val="false"/>
          </w:tcPr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Все документы, содержащие реквизит для подписи «Руководитель» или гриф «Утверждаю»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Все документы, подписываемые в качестве физического лица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усиленная квалифицированная</w:t>
              <w:br/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простая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br/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2397" w:type="dxa"/>
            <w:textDirection w:val="lrTb"/>
            <w:noWrap w:val="false"/>
          </w:tcPr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Главный бухгалтер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8199" w:type="dxa"/>
            <w:textDirection w:val="lrTb"/>
            <w:noWrap w:val="false"/>
          </w:tcPr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Все документы, содержащие реквизит для подписи «Главный бухгалтер»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Решение о проведении инвентаризации </w:t>
              <w:br/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(ф. 0510439)</w:t>
              <w:br/>
              <w:t xml:space="preserve">Изменение Решения о проведении инвентаризации </w:t>
              <w:br/>
              <w:t xml:space="preserve">(ф. 0510447)</w:t>
              <w:br/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Все документы, подписываемые в качестве физического лица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усиленная квалифицированная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простая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простая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ставит подпись в листе согласования</w:t>
              <w:br/>
              <w:br/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2397" w:type="dxa"/>
            <w:textDirection w:val="lrTb"/>
            <w:noWrap w:val="false"/>
          </w:tcPr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Бухгалтер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8199" w:type="dxa"/>
            <w:textDirection w:val="lrTb"/>
            <w:noWrap w:val="false"/>
          </w:tcPr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Ведомости, журналы операций, решения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Решение о проведении инвентаризации (ф. 0510439)</w:t>
              <w:br/>
              <w:t xml:space="preserve">Изменение Решения о проведении инвентаризации (ф. 0510447)</w:t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о компенсации расходов на оплату стоимости проезда и провоза багажа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0504517)</w:t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 о списании бланков строгой отчетности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 0510461)</w:t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Требование-накладная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 0510451)</w:t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Накладная на внутреннее перемещение НФА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 0510450)</w:t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списании объектов НФА (кроме транспортных средств)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0510454)</w:t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 списания транспортного средства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0510456)</w:t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Накладная на отпуск материалов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 0510458)</w:t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 приема-сдачи отремонтированных, реконструированных и модернизированных объектов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основных средств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0504103)</w:t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 о результатах инвентаризации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 0510463)</w:t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Бухгалтерская справка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 0504103)</w:t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 списания материальных запасов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0510460)</w:t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 о  списании мягкого и хозяйственного инвентаря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0504143)</w:t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Инвентарная карточка учета НФА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 0509215)</w:t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Инвентарная карточка группового учета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 НФА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 0509216)</w:t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Карточка учета имущества в личном пользовании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 0509097)</w:t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Карточка учета капитальных вложений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(ф</w:t>
            </w:r>
            <w:bookmarkStart w:id="0" w:name="_GoBack"/>
            <w:r>
              <w:rPr>
                <w:sz w:val="24"/>
                <w:szCs w:val="24"/>
              </w:rPr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0509211)</w:t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Карточка учета права пользования НФА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0509214)</w:t>
              <w:br/>
              <w:t xml:space="preserve">Акт сверки расчетов (ф. 0510477)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простая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ставит подпись в качестве ответственного исполнителя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2397" w:type="dxa"/>
            <w:textDirection w:val="lrTb"/>
            <w:noWrap w:val="false"/>
          </w:tcPr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Кладовщик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8199" w:type="dxa"/>
            <w:textDirection w:val="lrTb"/>
            <w:noWrap w:val="false"/>
          </w:tcPr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Акт приема-передачи объектов, полученных в личное пользование </w:t>
              <w:br/>
              <w:t xml:space="preserve">(ф. 0510434)</w:t>
              <w:br/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Карточка учета имущества в личном пользовании (ф. 0509097)</w:t>
              <w:br/>
              <w:br/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Р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ешение о проведении инвентаризации (ф. 0510439)</w:t>
              <w:br/>
              <w:t xml:space="preserve">Изменение Решения о проведении инвентаризации (ф. 0510447)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простая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br/>
              <w:t xml:space="preserve">ставит подпись в листе ознакомления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2397" w:type="dxa"/>
            <w:textDirection w:val="lrTb"/>
            <w:noWrap w:val="false"/>
          </w:tcPr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Сотрудники, ответственные за имущество (МОЛ)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8199" w:type="dxa"/>
            <w:textDirection w:val="lrTb"/>
            <w:noWrap w:val="false"/>
          </w:tcPr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Акт приема-передачи объектов, полученных в личное пользование </w:t>
              <w:br/>
              <w:t xml:space="preserve">(ф. 0510434)</w:t>
              <w:br/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Р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ешение о проведении инвентаризации (ф. 0510439)</w:t>
              <w:br/>
              <w:t xml:space="preserve">Изменение Решения о проведении инвентаризации (ф. 0510447)</w:t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Требование-накладная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 0510451)</w:t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Накладная на внутреннее перемещение НФА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 0510450)</w:t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Накладная на отпуск материалов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 0510458)</w:t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 списания литературы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0504144)</w:t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 приема-сдачи отремонтированных, реконструированных и модернизированных объектов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основных средств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0504103)</w:t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 о результатах инвентаризации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(ф. 0510463)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простая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ставят подпись в листе ознакомления</w:t>
              <w:br/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2397" w:type="dxa"/>
            <w:textDirection w:val="lrTb"/>
            <w:noWrap w:val="false"/>
          </w:tcPr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Председатель и члены комиссии по поступлению и выбытию активов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8199" w:type="dxa"/>
            <w:textDirection w:val="lrTb"/>
            <w:noWrap w:val="false"/>
          </w:tcPr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Акт о консервации (расконсервации) объектв основных средств (ф. 0510433)</w:t>
              <w:br/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Решение о прекращении признания активами объектов нефинансовых активов (ф. 0510440)</w:t>
              <w:br/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Решение о списании задолженности, не востребованной кредиторами (ф. 0510437)</w:t>
              <w:br/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Акт о признании безнадежной к взысканию задолженности по доходам (ф. 0510436)</w:t>
              <w:br/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Решение о признании (восстановлении) сомнительной задолженности по доходам (ф. 0510445)</w:t>
              <w:br/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Решение о восстановлении кредиторской задолженности (ф. 0510446)</w:t>
              <w:br/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Акт об утилизации (уничтожении) материальных ценностей (ф. 0510435)</w:t>
              <w:br/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Решение о признании объектов нефинансовых активов (ф. 0510441)</w:t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 о приеме передаче НФА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 0510448)</w:t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списании объектов НФА (кроме транспортных средств)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0510454)</w:t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 списания транспортного средства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0510456)</w:t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 списания литературы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0504144)</w:t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 приема-сдачи отремонтированных, реконструированных и модернизированных объектов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основных средств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0504103)</w:t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 списания материальных запасов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0510460)</w:t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 о  списании мягкого и хозяйственного инвентаря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0504143)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простая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для председателя – усиленная квалифицированная (при ее наличии)</w:t>
            </w:r>
            <w:r>
              <w:rPr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2397" w:type="dxa"/>
            <w:textDirection w:val="lrTb"/>
            <w:noWrap w:val="false"/>
          </w:tcPr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Сотрудники (подотчетные лица), руководители структурных подразделений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8199" w:type="dxa"/>
            <w:textDirection w:val="lrTb"/>
            <w:noWrap w:val="false"/>
          </w:tcPr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Отчет о расходах подотчетного лица (ф.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0504520)</w:t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закупки товаров, работ, услуг малого объема через подотчетное лицо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 0510521)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простая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2397" w:type="dxa"/>
            <w:vMerge w:val="restart"/>
            <w:textDirection w:val="lrTb"/>
            <w:noWrap w:val="false"/>
          </w:tcPr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Заместитель директора по АХР, </w:t>
              <w:br/>
              <w:t xml:space="preserve">специалист по закупкам, экономист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819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Заявка- обоснования закупки товаров, работ, услуг малого объема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(ф. 0510518)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кт приемки товаров, работ, услуг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0510452)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простая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2397" w:type="dxa"/>
            <w:vMerge w:val="restart"/>
            <w:textDirection w:val="lrTb"/>
            <w:noWrap w:val="false"/>
          </w:tcPr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Специалист отдела кадров,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Руководители служебных подразделений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Сотрудники (подотчетные лица)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819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о командировании на территории РФ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 0504512)</w:t>
            </w: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Решения о командировании на территории Российской Федерации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 0504513)</w:t>
            </w:r>
            <w:r>
              <w:rPr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о командировании на территорию иностранного государства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 0504515)</w:t>
            </w:r>
            <w:r>
              <w:rPr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простая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2397" w:type="dxa"/>
            <w:vMerge w:val="restart"/>
            <w:textDirection w:val="lrTb"/>
            <w:noWrap w:val="false"/>
          </w:tcPr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Члены инвентаризационных комиссий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8199" w:type="dxa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 о результатах инвентаризации наличных денежных средств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 0510836)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 о результатах инвентаризации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 0510463)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простая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pStyle w:val="908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</w:tbl>
    <w:p>
      <w:pPr>
        <w:pStyle w:val="9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w="16838" w:h="11906" w:orient="landscape"/>
      <w:pgMar w:top="1464" w:right="1134" w:bottom="1464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onsolas">
    <w:panose1 w:val="020B0606020202030204"/>
  </w:font>
  <w:font w:name="Times New Roman">
    <w:panose1 w:val="02020603050405020304"/>
  </w:font>
  <w:font w:name="Cambria">
    <w:panose1 w:val="02040503050406030204"/>
  </w:font>
  <w:font w:name="Arial">
    <w:panose1 w:val="020B060402020202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5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5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6">
    <w:name w:val="Heading 1"/>
    <w:basedOn w:val="894"/>
    <w:next w:val="894"/>
    <w:link w:val="71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17">
    <w:name w:val="Heading 1 Char"/>
    <w:link w:val="716"/>
    <w:uiPriority w:val="9"/>
    <w:rPr>
      <w:rFonts w:ascii="Arial" w:hAnsi="Arial" w:eastAsia="Arial" w:cs="Arial"/>
      <w:sz w:val="40"/>
      <w:szCs w:val="40"/>
    </w:rPr>
  </w:style>
  <w:style w:type="paragraph" w:styleId="718">
    <w:name w:val="Heading 2"/>
    <w:basedOn w:val="894"/>
    <w:next w:val="894"/>
    <w:link w:val="71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19">
    <w:name w:val="Heading 2 Char"/>
    <w:link w:val="718"/>
    <w:uiPriority w:val="9"/>
    <w:rPr>
      <w:rFonts w:ascii="Arial" w:hAnsi="Arial" w:eastAsia="Arial" w:cs="Arial"/>
      <w:sz w:val="34"/>
    </w:rPr>
  </w:style>
  <w:style w:type="paragraph" w:styleId="720">
    <w:name w:val="Heading 3"/>
    <w:basedOn w:val="894"/>
    <w:next w:val="894"/>
    <w:link w:val="72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1">
    <w:name w:val="Heading 3 Char"/>
    <w:link w:val="720"/>
    <w:uiPriority w:val="9"/>
    <w:rPr>
      <w:rFonts w:ascii="Arial" w:hAnsi="Arial" w:eastAsia="Arial" w:cs="Arial"/>
      <w:sz w:val="30"/>
      <w:szCs w:val="30"/>
    </w:rPr>
  </w:style>
  <w:style w:type="paragraph" w:styleId="722">
    <w:name w:val="Heading 4"/>
    <w:basedOn w:val="894"/>
    <w:next w:val="894"/>
    <w:link w:val="72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3">
    <w:name w:val="Heading 4 Char"/>
    <w:link w:val="722"/>
    <w:uiPriority w:val="9"/>
    <w:rPr>
      <w:rFonts w:ascii="Arial" w:hAnsi="Arial" w:eastAsia="Arial" w:cs="Arial"/>
      <w:b/>
      <w:bCs/>
      <w:sz w:val="26"/>
      <w:szCs w:val="26"/>
    </w:rPr>
  </w:style>
  <w:style w:type="paragraph" w:styleId="724">
    <w:name w:val="Heading 5"/>
    <w:basedOn w:val="894"/>
    <w:next w:val="894"/>
    <w:link w:val="72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25">
    <w:name w:val="Heading 5 Char"/>
    <w:link w:val="724"/>
    <w:uiPriority w:val="9"/>
    <w:rPr>
      <w:rFonts w:ascii="Arial" w:hAnsi="Arial" w:eastAsia="Arial" w:cs="Arial"/>
      <w:b/>
      <w:bCs/>
      <w:sz w:val="24"/>
      <w:szCs w:val="24"/>
    </w:rPr>
  </w:style>
  <w:style w:type="paragraph" w:styleId="726">
    <w:name w:val="Heading 6"/>
    <w:basedOn w:val="894"/>
    <w:next w:val="894"/>
    <w:link w:val="72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7">
    <w:name w:val="Heading 6 Char"/>
    <w:link w:val="726"/>
    <w:uiPriority w:val="9"/>
    <w:rPr>
      <w:rFonts w:ascii="Arial" w:hAnsi="Arial" w:eastAsia="Arial" w:cs="Arial"/>
      <w:b/>
      <w:bCs/>
      <w:sz w:val="22"/>
      <w:szCs w:val="22"/>
    </w:rPr>
  </w:style>
  <w:style w:type="paragraph" w:styleId="728">
    <w:name w:val="Heading 7"/>
    <w:basedOn w:val="894"/>
    <w:next w:val="894"/>
    <w:link w:val="72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9">
    <w:name w:val="Heading 7 Char"/>
    <w:link w:val="72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0">
    <w:name w:val="Heading 8"/>
    <w:basedOn w:val="894"/>
    <w:next w:val="894"/>
    <w:link w:val="73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1">
    <w:name w:val="Heading 8 Char"/>
    <w:link w:val="730"/>
    <w:uiPriority w:val="9"/>
    <w:rPr>
      <w:rFonts w:ascii="Arial" w:hAnsi="Arial" w:eastAsia="Arial" w:cs="Arial"/>
      <w:i/>
      <w:iCs/>
      <w:sz w:val="22"/>
      <w:szCs w:val="22"/>
    </w:rPr>
  </w:style>
  <w:style w:type="paragraph" w:styleId="732">
    <w:name w:val="Heading 9"/>
    <w:basedOn w:val="894"/>
    <w:next w:val="894"/>
    <w:link w:val="73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3">
    <w:name w:val="Heading 9 Char"/>
    <w:link w:val="732"/>
    <w:uiPriority w:val="9"/>
    <w:rPr>
      <w:rFonts w:ascii="Arial" w:hAnsi="Arial" w:eastAsia="Arial" w:cs="Arial"/>
      <w:i/>
      <w:iCs/>
      <w:sz w:val="21"/>
      <w:szCs w:val="21"/>
    </w:rPr>
  </w:style>
  <w:style w:type="paragraph" w:styleId="734">
    <w:name w:val="List Paragraph"/>
    <w:basedOn w:val="894"/>
    <w:uiPriority w:val="34"/>
    <w:qFormat/>
    <w:pPr>
      <w:contextualSpacing/>
      <w:ind w:left="720"/>
    </w:pPr>
  </w:style>
  <w:style w:type="paragraph" w:styleId="735">
    <w:name w:val="No Spacing"/>
    <w:uiPriority w:val="1"/>
    <w:qFormat/>
    <w:pPr>
      <w:spacing w:before="0" w:after="0" w:line="240" w:lineRule="auto"/>
    </w:pPr>
  </w:style>
  <w:style w:type="paragraph" w:styleId="736">
    <w:name w:val="Title"/>
    <w:basedOn w:val="894"/>
    <w:next w:val="894"/>
    <w:link w:val="73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7">
    <w:name w:val="Title Char"/>
    <w:link w:val="736"/>
    <w:uiPriority w:val="10"/>
    <w:rPr>
      <w:sz w:val="48"/>
      <w:szCs w:val="48"/>
    </w:rPr>
  </w:style>
  <w:style w:type="paragraph" w:styleId="738">
    <w:name w:val="Subtitle"/>
    <w:basedOn w:val="894"/>
    <w:next w:val="894"/>
    <w:link w:val="739"/>
    <w:uiPriority w:val="11"/>
    <w:qFormat/>
    <w:pPr>
      <w:spacing w:before="200" w:after="200"/>
    </w:pPr>
    <w:rPr>
      <w:sz w:val="24"/>
      <w:szCs w:val="24"/>
    </w:rPr>
  </w:style>
  <w:style w:type="character" w:styleId="739">
    <w:name w:val="Subtitle Char"/>
    <w:link w:val="738"/>
    <w:uiPriority w:val="11"/>
    <w:rPr>
      <w:sz w:val="24"/>
      <w:szCs w:val="24"/>
    </w:rPr>
  </w:style>
  <w:style w:type="paragraph" w:styleId="740">
    <w:name w:val="Quote"/>
    <w:basedOn w:val="894"/>
    <w:next w:val="894"/>
    <w:link w:val="741"/>
    <w:uiPriority w:val="29"/>
    <w:qFormat/>
    <w:pPr>
      <w:ind w:left="720" w:right="720"/>
    </w:pPr>
    <w:rPr>
      <w:i/>
    </w:rPr>
  </w:style>
  <w:style w:type="character" w:styleId="741">
    <w:name w:val="Quote Char"/>
    <w:link w:val="740"/>
    <w:uiPriority w:val="29"/>
    <w:rPr>
      <w:i/>
    </w:rPr>
  </w:style>
  <w:style w:type="paragraph" w:styleId="742">
    <w:name w:val="Intense Quote"/>
    <w:basedOn w:val="894"/>
    <w:next w:val="894"/>
    <w:link w:val="74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3">
    <w:name w:val="Intense Quote Char"/>
    <w:link w:val="742"/>
    <w:uiPriority w:val="30"/>
    <w:rPr>
      <w:i/>
    </w:rPr>
  </w:style>
  <w:style w:type="paragraph" w:styleId="744">
    <w:name w:val="Header"/>
    <w:basedOn w:val="894"/>
    <w:link w:val="7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5">
    <w:name w:val="Header Char"/>
    <w:link w:val="744"/>
    <w:uiPriority w:val="99"/>
  </w:style>
  <w:style w:type="paragraph" w:styleId="746">
    <w:name w:val="Footer"/>
    <w:basedOn w:val="894"/>
    <w:link w:val="74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7">
    <w:name w:val="Footer Char"/>
    <w:link w:val="746"/>
    <w:uiPriority w:val="99"/>
  </w:style>
  <w:style w:type="paragraph" w:styleId="748">
    <w:name w:val="Caption"/>
    <w:basedOn w:val="894"/>
    <w:next w:val="89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9">
    <w:name w:val="Caption Char"/>
    <w:basedOn w:val="748"/>
    <w:link w:val="746"/>
    <w:uiPriority w:val="99"/>
  </w:style>
  <w:style w:type="table" w:styleId="75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8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8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8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9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9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9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4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5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5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5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5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5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5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7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76">
    <w:name w:val="Hyperlink"/>
    <w:uiPriority w:val="99"/>
    <w:unhideWhenUsed/>
    <w:rPr>
      <w:color w:val="0000ff" w:themeColor="hyperlink"/>
      <w:u w:val="single"/>
    </w:rPr>
  </w:style>
  <w:style w:type="paragraph" w:styleId="877">
    <w:name w:val="footnote text"/>
    <w:basedOn w:val="894"/>
    <w:link w:val="878"/>
    <w:uiPriority w:val="99"/>
    <w:semiHidden/>
    <w:unhideWhenUsed/>
    <w:pPr>
      <w:spacing w:after="40" w:line="240" w:lineRule="auto"/>
    </w:pPr>
    <w:rPr>
      <w:sz w:val="18"/>
    </w:rPr>
  </w:style>
  <w:style w:type="character" w:styleId="878">
    <w:name w:val="Footnote Text Char"/>
    <w:link w:val="877"/>
    <w:uiPriority w:val="99"/>
    <w:rPr>
      <w:sz w:val="18"/>
    </w:rPr>
  </w:style>
  <w:style w:type="character" w:styleId="879">
    <w:name w:val="footnote reference"/>
    <w:uiPriority w:val="99"/>
    <w:unhideWhenUsed/>
    <w:rPr>
      <w:vertAlign w:val="superscript"/>
    </w:rPr>
  </w:style>
  <w:style w:type="paragraph" w:styleId="880">
    <w:name w:val="endnote text"/>
    <w:basedOn w:val="894"/>
    <w:link w:val="881"/>
    <w:uiPriority w:val="99"/>
    <w:semiHidden/>
    <w:unhideWhenUsed/>
    <w:pPr>
      <w:spacing w:after="0" w:line="240" w:lineRule="auto"/>
    </w:pPr>
    <w:rPr>
      <w:sz w:val="20"/>
    </w:rPr>
  </w:style>
  <w:style w:type="character" w:styleId="881">
    <w:name w:val="Endnote Text Char"/>
    <w:link w:val="880"/>
    <w:uiPriority w:val="99"/>
    <w:rPr>
      <w:sz w:val="20"/>
    </w:rPr>
  </w:style>
  <w:style w:type="character" w:styleId="882">
    <w:name w:val="endnote reference"/>
    <w:uiPriority w:val="99"/>
    <w:semiHidden/>
    <w:unhideWhenUsed/>
    <w:rPr>
      <w:vertAlign w:val="superscript"/>
    </w:rPr>
  </w:style>
  <w:style w:type="paragraph" w:styleId="883">
    <w:name w:val="toc 1"/>
    <w:basedOn w:val="894"/>
    <w:next w:val="894"/>
    <w:uiPriority w:val="39"/>
    <w:unhideWhenUsed/>
    <w:pPr>
      <w:ind w:left="0" w:right="0" w:firstLine="0"/>
      <w:spacing w:after="57"/>
    </w:pPr>
  </w:style>
  <w:style w:type="paragraph" w:styleId="884">
    <w:name w:val="toc 2"/>
    <w:basedOn w:val="894"/>
    <w:next w:val="894"/>
    <w:uiPriority w:val="39"/>
    <w:unhideWhenUsed/>
    <w:pPr>
      <w:ind w:left="283" w:right="0" w:firstLine="0"/>
      <w:spacing w:after="57"/>
    </w:pPr>
  </w:style>
  <w:style w:type="paragraph" w:styleId="885">
    <w:name w:val="toc 3"/>
    <w:basedOn w:val="894"/>
    <w:next w:val="894"/>
    <w:uiPriority w:val="39"/>
    <w:unhideWhenUsed/>
    <w:pPr>
      <w:ind w:left="567" w:right="0" w:firstLine="0"/>
      <w:spacing w:after="57"/>
    </w:pPr>
  </w:style>
  <w:style w:type="paragraph" w:styleId="886">
    <w:name w:val="toc 4"/>
    <w:basedOn w:val="894"/>
    <w:next w:val="894"/>
    <w:uiPriority w:val="39"/>
    <w:unhideWhenUsed/>
    <w:pPr>
      <w:ind w:left="850" w:right="0" w:firstLine="0"/>
      <w:spacing w:after="57"/>
    </w:pPr>
  </w:style>
  <w:style w:type="paragraph" w:styleId="887">
    <w:name w:val="toc 5"/>
    <w:basedOn w:val="894"/>
    <w:next w:val="894"/>
    <w:uiPriority w:val="39"/>
    <w:unhideWhenUsed/>
    <w:pPr>
      <w:ind w:left="1134" w:right="0" w:firstLine="0"/>
      <w:spacing w:after="57"/>
    </w:pPr>
  </w:style>
  <w:style w:type="paragraph" w:styleId="888">
    <w:name w:val="toc 6"/>
    <w:basedOn w:val="894"/>
    <w:next w:val="894"/>
    <w:uiPriority w:val="39"/>
    <w:unhideWhenUsed/>
    <w:pPr>
      <w:ind w:left="1417" w:right="0" w:firstLine="0"/>
      <w:spacing w:after="57"/>
    </w:pPr>
  </w:style>
  <w:style w:type="paragraph" w:styleId="889">
    <w:name w:val="toc 7"/>
    <w:basedOn w:val="894"/>
    <w:next w:val="894"/>
    <w:uiPriority w:val="39"/>
    <w:unhideWhenUsed/>
    <w:pPr>
      <w:ind w:left="1701" w:right="0" w:firstLine="0"/>
      <w:spacing w:after="57"/>
    </w:pPr>
  </w:style>
  <w:style w:type="paragraph" w:styleId="890">
    <w:name w:val="toc 8"/>
    <w:basedOn w:val="894"/>
    <w:next w:val="894"/>
    <w:uiPriority w:val="39"/>
    <w:unhideWhenUsed/>
    <w:pPr>
      <w:ind w:left="1984" w:right="0" w:firstLine="0"/>
      <w:spacing w:after="57"/>
    </w:pPr>
  </w:style>
  <w:style w:type="paragraph" w:styleId="891">
    <w:name w:val="toc 9"/>
    <w:basedOn w:val="894"/>
    <w:next w:val="894"/>
    <w:uiPriority w:val="39"/>
    <w:unhideWhenUsed/>
    <w:pPr>
      <w:ind w:left="2268" w:right="0" w:firstLine="0"/>
      <w:spacing w:after="57"/>
    </w:pPr>
  </w:style>
  <w:style w:type="paragraph" w:styleId="892">
    <w:name w:val="TOC Heading"/>
    <w:uiPriority w:val="39"/>
    <w:unhideWhenUsed/>
  </w:style>
  <w:style w:type="paragraph" w:styleId="893">
    <w:name w:val="table of figures"/>
    <w:basedOn w:val="894"/>
    <w:next w:val="894"/>
    <w:uiPriority w:val="99"/>
    <w:unhideWhenUsed/>
    <w:pPr>
      <w:spacing w:after="0" w:afterAutospacing="0"/>
    </w:pPr>
  </w:style>
  <w:style w:type="paragraph" w:styleId="894" w:default="1">
    <w:name w:val="Normal"/>
    <w:next w:val="894"/>
    <w:link w:val="894"/>
    <w:qFormat/>
    <w:rPr>
      <w:rFonts w:ascii="Arial" w:hAnsi="Arial" w:cs="Arial"/>
      <w:sz w:val="24"/>
      <w:szCs w:val="24"/>
      <w:lang w:val="ru-RU" w:eastAsia="ru-RU" w:bidi="ar-SA"/>
    </w:rPr>
  </w:style>
  <w:style w:type="paragraph" w:styleId="895">
    <w:name w:val="Заголовок 1"/>
    <w:basedOn w:val="894"/>
    <w:next w:val="895"/>
    <w:link w:val="903"/>
    <w:uiPriority w:val="9"/>
    <w:qFormat/>
    <w:pPr>
      <w:spacing w:before="100" w:beforeAutospacing="1" w:after="100" w:afterAutospacing="1"/>
      <w:outlineLvl w:val="0"/>
    </w:pPr>
    <w:rPr>
      <w:b/>
      <w:bCs/>
      <w:sz w:val="20"/>
      <w:szCs w:val="20"/>
    </w:rPr>
  </w:style>
  <w:style w:type="paragraph" w:styleId="896">
    <w:name w:val="Заголовок 2"/>
    <w:basedOn w:val="894"/>
    <w:next w:val="896"/>
    <w:link w:val="904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897">
    <w:name w:val="Заголовок 3"/>
    <w:basedOn w:val="894"/>
    <w:next w:val="897"/>
    <w:link w:val="905"/>
    <w:uiPriority w:val="9"/>
    <w:qFormat/>
    <w:pPr>
      <w:spacing w:before="100" w:beforeAutospacing="1" w:after="100" w:afterAutospacing="1"/>
      <w:outlineLvl w:val="2"/>
    </w:pPr>
    <w:rPr>
      <w:b/>
      <w:bCs/>
      <w:sz w:val="33"/>
      <w:szCs w:val="33"/>
    </w:rPr>
  </w:style>
  <w:style w:type="character" w:styleId="898">
    <w:name w:val="Основной шрифт абзаца"/>
    <w:next w:val="898"/>
    <w:link w:val="894"/>
    <w:uiPriority w:val="1"/>
    <w:semiHidden/>
    <w:unhideWhenUsed/>
  </w:style>
  <w:style w:type="table" w:styleId="899">
    <w:name w:val="Обычная таблица"/>
    <w:next w:val="899"/>
    <w:link w:val="894"/>
    <w:uiPriority w:val="99"/>
    <w:semiHidden/>
    <w:unhideWhenUsed/>
    <w:qFormat/>
    <w:tblPr/>
  </w:style>
  <w:style w:type="numbering" w:styleId="900">
    <w:name w:val="Нет списка"/>
    <w:next w:val="900"/>
    <w:link w:val="894"/>
    <w:uiPriority w:val="99"/>
    <w:semiHidden/>
    <w:unhideWhenUsed/>
  </w:style>
  <w:style w:type="character" w:styleId="901">
    <w:name w:val="Гиперссылка"/>
    <w:next w:val="901"/>
    <w:link w:val="894"/>
    <w:uiPriority w:val="99"/>
    <w:unhideWhenUsed/>
    <w:rPr>
      <w:color w:val="0000ff"/>
      <w:u w:val="single"/>
    </w:rPr>
  </w:style>
  <w:style w:type="character" w:styleId="902">
    <w:name w:val="Просмотренная гиперссылка"/>
    <w:next w:val="902"/>
    <w:link w:val="894"/>
    <w:uiPriority w:val="99"/>
    <w:semiHidden/>
    <w:unhideWhenUsed/>
    <w:rPr>
      <w:color w:val="800080"/>
      <w:u w:val="single"/>
    </w:rPr>
  </w:style>
  <w:style w:type="character" w:styleId="903">
    <w:name w:val="Заголовок 1 Знак"/>
    <w:next w:val="903"/>
    <w:link w:val="895"/>
    <w:uiPriority w:val="9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904">
    <w:name w:val="Заголовок 2 Знак"/>
    <w:next w:val="904"/>
    <w:link w:val="896"/>
    <w:uiPriority w:val="9"/>
    <w:semiHidden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905">
    <w:name w:val="Заголовок 3 Знак"/>
    <w:next w:val="905"/>
    <w:link w:val="897"/>
    <w:uiPriority w:val="9"/>
    <w:semiHidden/>
    <w:rPr>
      <w:rFonts w:ascii="Cambria" w:hAnsi="Cambria" w:eastAsia="Times New Roman" w:cs="Times New Roman"/>
      <w:b/>
      <w:bCs/>
      <w:color w:val="4f81bd"/>
      <w:sz w:val="24"/>
      <w:szCs w:val="24"/>
    </w:rPr>
  </w:style>
  <w:style w:type="paragraph" w:styleId="906">
    <w:name w:val="Стандартный HTML"/>
    <w:basedOn w:val="894"/>
    <w:next w:val="906"/>
    <w:link w:val="907"/>
    <w:uiPriority w:val="99"/>
    <w:semiHidden/>
    <w:unhideWhenUsed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sz w:val="20"/>
      <w:szCs w:val="20"/>
    </w:rPr>
  </w:style>
  <w:style w:type="character" w:styleId="907">
    <w:name w:val="Стандартный HTML Знак"/>
    <w:next w:val="907"/>
    <w:link w:val="906"/>
    <w:uiPriority w:val="99"/>
    <w:semiHidden/>
    <w:rPr>
      <w:rFonts w:ascii="Consolas" w:hAnsi="Consolas" w:eastAsia="Times New Roman"/>
    </w:rPr>
  </w:style>
  <w:style w:type="paragraph" w:styleId="908">
    <w:name w:val="Обычный (веб)"/>
    <w:basedOn w:val="894"/>
    <w:next w:val="908"/>
    <w:link w:val="894"/>
    <w:uiPriority w:val="99"/>
    <w:unhideWhenUsed/>
    <w:pPr>
      <w:spacing w:before="100" w:beforeAutospacing="1" w:after="100" w:afterAutospacing="1"/>
    </w:pPr>
    <w:rPr>
      <w:sz w:val="20"/>
      <w:szCs w:val="20"/>
    </w:rPr>
  </w:style>
  <w:style w:type="paragraph" w:styleId="909">
    <w:name w:val="yrsh"/>
    <w:basedOn w:val="894"/>
    <w:next w:val="909"/>
    <w:link w:val="894"/>
    <w:pPr>
      <w:spacing w:before="100" w:beforeAutospacing="1" w:after="100" w:afterAutospacing="1"/>
      <w:shd w:val="clear" w:color="auto" w:fill="92d050"/>
    </w:pPr>
    <w:rPr>
      <w:sz w:val="20"/>
      <w:szCs w:val="20"/>
    </w:rPr>
  </w:style>
  <w:style w:type="paragraph" w:styleId="910">
    <w:name w:val="tabtitle"/>
    <w:basedOn w:val="894"/>
    <w:next w:val="910"/>
    <w:link w:val="894"/>
    <w:pPr>
      <w:spacing w:before="100" w:beforeAutospacing="1" w:after="100" w:afterAutospacing="1"/>
      <w:shd w:val="clear" w:color="auto" w:fill="28a0c8"/>
    </w:pPr>
    <w:rPr>
      <w:sz w:val="20"/>
      <w:szCs w:val="20"/>
    </w:rPr>
  </w:style>
  <w:style w:type="paragraph" w:styleId="911">
    <w:name w:val="header-listtarget"/>
    <w:basedOn w:val="894"/>
    <w:next w:val="911"/>
    <w:link w:val="894"/>
    <w:pPr>
      <w:spacing w:before="100" w:beforeAutospacing="1" w:after="100" w:afterAutospacing="1"/>
      <w:shd w:val="clear" w:color="auto" w:fill="e66e5a"/>
    </w:pPr>
    <w:rPr>
      <w:sz w:val="20"/>
      <w:szCs w:val="20"/>
    </w:rPr>
  </w:style>
  <w:style w:type="paragraph" w:styleId="912">
    <w:name w:val="bdall"/>
    <w:basedOn w:val="894"/>
    <w:next w:val="912"/>
    <w:link w:val="894"/>
    <w:pPr>
      <w:spacing w:before="100" w:beforeAutospacing="1" w:after="100" w:afterAutospacing="1"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</w:pPr>
    <w:rPr>
      <w:sz w:val="20"/>
      <w:szCs w:val="20"/>
    </w:rPr>
  </w:style>
  <w:style w:type="paragraph" w:styleId="913">
    <w:name w:val="bdtop"/>
    <w:basedOn w:val="894"/>
    <w:next w:val="913"/>
    <w:link w:val="894"/>
    <w:pPr>
      <w:spacing w:before="100" w:beforeAutospacing="1" w:after="100" w:afterAutospacing="1"/>
      <w:pBdr>
        <w:top w:val="single" w:color="000000" w:sz="8" w:space="0"/>
      </w:pBdr>
    </w:pPr>
    <w:rPr>
      <w:sz w:val="20"/>
      <w:szCs w:val="20"/>
    </w:rPr>
  </w:style>
  <w:style w:type="paragraph" w:styleId="914">
    <w:name w:val="bdleft"/>
    <w:basedOn w:val="894"/>
    <w:next w:val="914"/>
    <w:link w:val="894"/>
    <w:pPr>
      <w:spacing w:before="100" w:beforeAutospacing="1" w:after="100" w:afterAutospacing="1"/>
      <w:pBdr>
        <w:left w:val="single" w:color="000000" w:sz="8" w:space="0"/>
      </w:pBdr>
    </w:pPr>
    <w:rPr>
      <w:sz w:val="20"/>
      <w:szCs w:val="20"/>
    </w:rPr>
  </w:style>
  <w:style w:type="paragraph" w:styleId="915">
    <w:name w:val="bdright"/>
    <w:basedOn w:val="894"/>
    <w:next w:val="915"/>
    <w:link w:val="894"/>
    <w:pPr>
      <w:spacing w:before="100" w:beforeAutospacing="1" w:after="100" w:afterAutospacing="1"/>
      <w:pBdr>
        <w:right w:val="single" w:color="000000" w:sz="8" w:space="0"/>
      </w:pBdr>
    </w:pPr>
    <w:rPr>
      <w:sz w:val="20"/>
      <w:szCs w:val="20"/>
    </w:rPr>
  </w:style>
  <w:style w:type="paragraph" w:styleId="916">
    <w:name w:val="bdbottom"/>
    <w:basedOn w:val="894"/>
    <w:next w:val="916"/>
    <w:link w:val="894"/>
    <w:pPr>
      <w:spacing w:before="100" w:beforeAutospacing="1" w:after="100" w:afterAutospacing="1"/>
      <w:pBdr>
        <w:bottom w:val="single" w:color="000000" w:sz="8" w:space="0"/>
      </w:pBdr>
    </w:pPr>
    <w:rPr>
      <w:sz w:val="20"/>
      <w:szCs w:val="20"/>
    </w:rPr>
  </w:style>
  <w:style w:type="paragraph" w:styleId="917">
    <w:name w:val="headercell"/>
    <w:basedOn w:val="894"/>
    <w:next w:val="917"/>
    <w:link w:val="894"/>
    <w:pPr>
      <w:spacing w:before="100" w:beforeAutospacing="1" w:after="100" w:afterAutospacing="1"/>
      <w:pBdr>
        <w:bottom w:val="single" w:color="000000" w:sz="6" w:space="0"/>
      </w:pBdr>
    </w:pPr>
    <w:rPr>
      <w:sz w:val="20"/>
      <w:szCs w:val="20"/>
    </w:rPr>
  </w:style>
  <w:style w:type="character" w:styleId="918">
    <w:name w:val="lspace"/>
    <w:next w:val="918"/>
    <w:link w:val="894"/>
    <w:rPr>
      <w:color w:val="ff9900"/>
    </w:rPr>
  </w:style>
  <w:style w:type="character" w:styleId="919">
    <w:name w:val="small"/>
    <w:next w:val="919"/>
    <w:link w:val="894"/>
    <w:rPr>
      <w:sz w:val="15"/>
      <w:szCs w:val="15"/>
    </w:rPr>
  </w:style>
  <w:style w:type="character" w:styleId="920">
    <w:name w:val="fill"/>
    <w:next w:val="920"/>
    <w:link w:val="894"/>
    <w:rPr>
      <w:b/>
      <w:bCs/>
      <w:i/>
      <w:iCs/>
      <w:color w:val="ff0000"/>
    </w:rPr>
  </w:style>
  <w:style w:type="character" w:styleId="921">
    <w:name w:val="maggd"/>
    <w:next w:val="921"/>
    <w:link w:val="894"/>
    <w:rPr>
      <w:color w:val="006400"/>
    </w:rPr>
  </w:style>
  <w:style w:type="character" w:styleId="922">
    <w:name w:val="magusn"/>
    <w:next w:val="922"/>
    <w:link w:val="894"/>
    <w:rPr>
      <w:color w:val="006666"/>
    </w:rPr>
  </w:style>
  <w:style w:type="character" w:styleId="923">
    <w:name w:val="enp"/>
    <w:next w:val="923"/>
    <w:link w:val="894"/>
    <w:rPr>
      <w:color w:val="3c7828"/>
    </w:rPr>
  </w:style>
  <w:style w:type="character" w:styleId="924">
    <w:name w:val="kdkss"/>
    <w:next w:val="924"/>
    <w:link w:val="894"/>
    <w:rPr>
      <w:color w:val="be780a"/>
    </w:rPr>
  </w:style>
  <w:style w:type="character" w:styleId="925">
    <w:name w:val="actel"/>
    <w:next w:val="925"/>
    <w:link w:val="894"/>
    <w:rPr>
      <w:color w:val="e36c0a"/>
    </w:rPr>
  </w:style>
  <w:style w:type="character" w:styleId="926">
    <w:name w:val="Знак примечания"/>
    <w:next w:val="926"/>
    <w:link w:val="894"/>
    <w:uiPriority w:val="99"/>
    <w:semiHidden/>
    <w:unhideWhenUsed/>
    <w:rPr>
      <w:sz w:val="16"/>
      <w:szCs w:val="16"/>
    </w:rPr>
  </w:style>
  <w:style w:type="paragraph" w:styleId="927">
    <w:name w:val="Текст примечания"/>
    <w:basedOn w:val="894"/>
    <w:next w:val="927"/>
    <w:link w:val="928"/>
    <w:uiPriority w:val="99"/>
    <w:semiHidden/>
    <w:unhideWhenUsed/>
    <w:rPr>
      <w:sz w:val="20"/>
      <w:szCs w:val="20"/>
    </w:rPr>
  </w:style>
  <w:style w:type="character" w:styleId="928">
    <w:name w:val="Текст примечания Знак"/>
    <w:next w:val="928"/>
    <w:link w:val="927"/>
    <w:uiPriority w:val="99"/>
    <w:semiHidden/>
    <w:rPr>
      <w:rFonts w:eastAsia="Times New Roman"/>
    </w:rPr>
  </w:style>
  <w:style w:type="paragraph" w:styleId="929">
    <w:name w:val="Тема примечания"/>
    <w:basedOn w:val="927"/>
    <w:next w:val="927"/>
    <w:link w:val="930"/>
    <w:uiPriority w:val="99"/>
    <w:semiHidden/>
    <w:unhideWhenUsed/>
    <w:rPr>
      <w:b/>
      <w:bCs/>
    </w:rPr>
  </w:style>
  <w:style w:type="character" w:styleId="930">
    <w:name w:val="Тема примечания Знак"/>
    <w:next w:val="930"/>
    <w:link w:val="929"/>
    <w:uiPriority w:val="99"/>
    <w:semiHidden/>
    <w:rPr>
      <w:rFonts w:eastAsia="Times New Roman"/>
      <w:b/>
      <w:bCs/>
    </w:rPr>
  </w:style>
  <w:style w:type="paragraph" w:styleId="931">
    <w:name w:val="Текст выноски"/>
    <w:basedOn w:val="894"/>
    <w:next w:val="931"/>
    <w:link w:val="932"/>
    <w:uiPriority w:val="99"/>
    <w:semiHidden/>
    <w:unhideWhenUsed/>
    <w:rPr>
      <w:rFonts w:ascii="Tahoma" w:hAnsi="Tahoma" w:cs="Tahoma"/>
      <w:sz w:val="16"/>
      <w:szCs w:val="16"/>
    </w:rPr>
  </w:style>
  <w:style w:type="character" w:styleId="932">
    <w:name w:val="Текст выноски Знак"/>
    <w:next w:val="932"/>
    <w:link w:val="931"/>
    <w:uiPriority w:val="99"/>
    <w:semiHidden/>
    <w:rPr>
      <w:rFonts w:ascii="Tahoma" w:hAnsi="Tahoma" w:eastAsia="Times New Roman" w:cs="Tahoma"/>
      <w:sz w:val="16"/>
      <w:szCs w:val="16"/>
    </w:rPr>
  </w:style>
  <w:style w:type="paragraph" w:styleId="933">
    <w:name w:val="Верхний колонтитул"/>
    <w:basedOn w:val="894"/>
    <w:next w:val="933"/>
    <w:link w:val="934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934">
    <w:name w:val="Верхний колонтитул Знак"/>
    <w:next w:val="934"/>
    <w:link w:val="933"/>
    <w:uiPriority w:val="99"/>
    <w:semiHidden/>
    <w:rPr>
      <w:rFonts w:ascii="Arial" w:hAnsi="Arial" w:cs="Arial"/>
      <w:sz w:val="24"/>
      <w:szCs w:val="24"/>
    </w:rPr>
  </w:style>
  <w:style w:type="paragraph" w:styleId="935">
    <w:name w:val="Нижний колонтитул"/>
    <w:basedOn w:val="894"/>
    <w:next w:val="935"/>
    <w:link w:val="936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936">
    <w:name w:val="Нижний колонтитул Знак"/>
    <w:next w:val="936"/>
    <w:link w:val="935"/>
    <w:uiPriority w:val="99"/>
    <w:semiHidden/>
    <w:rPr>
      <w:rFonts w:ascii="Arial" w:hAnsi="Arial" w:cs="Arial"/>
      <w:sz w:val="24"/>
      <w:szCs w:val="24"/>
    </w:rPr>
  </w:style>
  <w:style w:type="character" w:styleId="937" w:default="1">
    <w:name w:val="Default Paragraph Font"/>
    <w:uiPriority w:val="1"/>
    <w:semiHidden/>
    <w:unhideWhenUsed/>
  </w:style>
  <w:style w:type="numbering" w:styleId="938" w:default="1">
    <w:name w:val="No List"/>
    <w:uiPriority w:val="99"/>
    <w:semiHidden/>
    <w:unhideWhenUsed/>
  </w:style>
  <w:style w:type="table" w:styleId="93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Перечень лиц, имеющих право подписи первичных документов</dc:title>
  <dc:creator>User</dc:creator>
  <dc:description>Подготовлено на базе материалов БСС «Система Главбух»</dc:description>
  <cp:revision>5</cp:revision>
  <dcterms:created xsi:type="dcterms:W3CDTF">2023-06-21T10:45:00Z</dcterms:created>
  <dcterms:modified xsi:type="dcterms:W3CDTF">2026-03-31T12:37:40Z</dcterms:modified>
  <cp:version>1048576</cp:version>
</cp:coreProperties>
</file>